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BF" w:rsidRPr="008314BF" w:rsidRDefault="008314BF" w:rsidP="008314BF">
      <w:pPr>
        <w:autoSpaceDE w:val="0"/>
        <w:autoSpaceDN w:val="0"/>
        <w:adjustRightInd w:val="0"/>
        <w:spacing w:line="276" w:lineRule="auto"/>
        <w:jc w:val="left"/>
        <w:rPr>
          <w:rFonts w:ascii="Garamond" w:hAnsi="Garamond" w:cs="Calibri"/>
          <w:b/>
          <w:sz w:val="24"/>
        </w:rPr>
      </w:pPr>
      <w:bookmarkStart w:id="0" w:name="_Ref170184952"/>
      <w:bookmarkStart w:id="1" w:name="_Toc170185036"/>
    </w:p>
    <w:p w:rsidR="008314BF" w:rsidRPr="008314BF" w:rsidRDefault="008314BF" w:rsidP="008314BF">
      <w:pPr>
        <w:autoSpaceDE w:val="0"/>
        <w:autoSpaceDN w:val="0"/>
        <w:adjustRightInd w:val="0"/>
        <w:spacing w:line="276" w:lineRule="auto"/>
        <w:jc w:val="left"/>
        <w:rPr>
          <w:rFonts w:ascii="Garamond" w:hAnsi="Garamond" w:cs="Calibri"/>
          <w:b/>
          <w:sz w:val="24"/>
        </w:rPr>
      </w:pPr>
    </w:p>
    <w:p w:rsidR="008314BF" w:rsidRPr="008314BF" w:rsidRDefault="008314BF" w:rsidP="008314BF">
      <w:pPr>
        <w:rPr>
          <w:rFonts w:ascii="Garamond" w:hAnsi="Garamond"/>
          <w:b/>
          <w:sz w:val="24"/>
        </w:rPr>
      </w:pPr>
      <w:r w:rsidRPr="008314BF">
        <w:rPr>
          <w:rFonts w:ascii="Garamond" w:hAnsi="Garamond" w:cs="Calibri"/>
          <w:b/>
          <w:sz w:val="24"/>
        </w:rPr>
        <w:t xml:space="preserve">OGGETTO:  </w:t>
      </w:r>
      <w:r w:rsidRPr="008314BF">
        <w:rPr>
          <w:rFonts w:ascii="Garamond" w:hAnsi="Garamond"/>
          <w:b/>
          <w:sz w:val="24"/>
        </w:rPr>
        <w:t xml:space="preserve">BANDO </w:t>
      </w:r>
      <w:proofErr w:type="spellStart"/>
      <w:r w:rsidRPr="008314BF">
        <w:rPr>
          <w:rFonts w:ascii="Garamond" w:hAnsi="Garamond"/>
          <w:b/>
          <w:sz w:val="24"/>
        </w:rPr>
        <w:t>DI</w:t>
      </w:r>
      <w:proofErr w:type="spellEnd"/>
      <w:r w:rsidRPr="008314BF">
        <w:rPr>
          <w:rFonts w:ascii="Garamond" w:hAnsi="Garamond"/>
          <w:b/>
          <w:sz w:val="24"/>
        </w:rPr>
        <w:t xml:space="preserve"> GARA PER L’AFFIDAMENTO DEI SERVIZI RICOMPRESI </w:t>
      </w:r>
      <w:r>
        <w:rPr>
          <w:rFonts w:ascii="Garamond" w:hAnsi="Garamond"/>
          <w:b/>
          <w:sz w:val="24"/>
        </w:rPr>
        <w:t xml:space="preserve"> </w:t>
      </w:r>
      <w:r w:rsidRPr="008314BF">
        <w:rPr>
          <w:rFonts w:ascii="Garamond" w:hAnsi="Garamond"/>
          <w:b/>
          <w:sz w:val="24"/>
        </w:rPr>
        <w:t>NEL PIANO DISTRETTUALE SOCIALE DELL’AMBITO N. 12 SANGRO-AVENTINO</w:t>
      </w:r>
      <w:r>
        <w:rPr>
          <w:rFonts w:ascii="Garamond" w:hAnsi="Garamond"/>
          <w:b/>
          <w:sz w:val="24"/>
        </w:rPr>
        <w:t xml:space="preserve"> </w:t>
      </w:r>
      <w:r w:rsidRPr="008314BF">
        <w:rPr>
          <w:rFonts w:ascii="Garamond" w:hAnsi="Garamond"/>
          <w:b/>
          <w:sz w:val="24"/>
        </w:rPr>
        <w:t>CIG: 75447214BA</w:t>
      </w:r>
      <w:r>
        <w:rPr>
          <w:rFonts w:ascii="Garamond" w:hAnsi="Garamond"/>
          <w:b/>
          <w:sz w:val="24"/>
        </w:rPr>
        <w:t>.</w:t>
      </w:r>
    </w:p>
    <w:p w:rsidR="008314BF" w:rsidRPr="008314BF" w:rsidRDefault="008314BF" w:rsidP="008314BF">
      <w:pPr>
        <w:autoSpaceDE w:val="0"/>
        <w:autoSpaceDN w:val="0"/>
        <w:adjustRightInd w:val="0"/>
        <w:rPr>
          <w:rFonts w:ascii="Garamond" w:hAnsi="Garamond"/>
          <w:b/>
          <w:sz w:val="24"/>
        </w:rPr>
      </w:pPr>
    </w:p>
    <w:p w:rsidR="008314BF" w:rsidRPr="008314BF" w:rsidRDefault="008314BF" w:rsidP="008314BF">
      <w:pPr>
        <w:autoSpaceDE w:val="0"/>
        <w:autoSpaceDN w:val="0"/>
        <w:adjustRightInd w:val="0"/>
        <w:jc w:val="center"/>
        <w:rPr>
          <w:rFonts w:ascii="Garamond" w:hAnsi="Garamond"/>
          <w:b/>
          <w:sz w:val="24"/>
        </w:rPr>
      </w:pPr>
      <w:r w:rsidRPr="008314BF">
        <w:rPr>
          <w:rFonts w:ascii="Garamond" w:hAnsi="Garamond"/>
          <w:b/>
          <w:sz w:val="24"/>
        </w:rPr>
        <w:t>STAZIONE APPALTANTE: UNIONE MONTANA DEI COMUNI DEL SANGRO</w:t>
      </w:r>
    </w:p>
    <w:p w:rsidR="008314BF" w:rsidRPr="008314BF" w:rsidRDefault="008314BF" w:rsidP="008314BF">
      <w:pPr>
        <w:autoSpaceDE w:val="0"/>
        <w:autoSpaceDN w:val="0"/>
        <w:adjustRightInd w:val="0"/>
        <w:jc w:val="center"/>
        <w:rPr>
          <w:rFonts w:ascii="Garamond" w:hAnsi="Garamond"/>
          <w:b/>
          <w:bCs/>
          <w:i/>
          <w:sz w:val="24"/>
          <w:u w:val="single"/>
        </w:rPr>
      </w:pPr>
    </w:p>
    <w:p w:rsidR="008314BF" w:rsidRPr="008314BF" w:rsidRDefault="008314BF" w:rsidP="008314BF">
      <w:pPr>
        <w:autoSpaceDE w:val="0"/>
        <w:autoSpaceDN w:val="0"/>
        <w:adjustRightInd w:val="0"/>
        <w:jc w:val="center"/>
        <w:rPr>
          <w:rFonts w:ascii="Garamond" w:hAnsi="Garamond"/>
          <w:b/>
          <w:bCs/>
          <w:i/>
          <w:sz w:val="24"/>
          <w:u w:val="single"/>
        </w:rPr>
      </w:pPr>
      <w:r w:rsidRPr="008314BF">
        <w:rPr>
          <w:rFonts w:ascii="Garamond" w:hAnsi="Garamond"/>
          <w:b/>
          <w:bCs/>
          <w:i/>
          <w:sz w:val="24"/>
          <w:u w:val="single"/>
        </w:rPr>
        <w:t xml:space="preserve">DICHIARAZIONE </w:t>
      </w:r>
      <w:proofErr w:type="spellStart"/>
      <w:r w:rsidRPr="008314BF">
        <w:rPr>
          <w:rFonts w:ascii="Garamond" w:hAnsi="Garamond"/>
          <w:b/>
          <w:bCs/>
          <w:i/>
          <w:sz w:val="24"/>
          <w:u w:val="single"/>
        </w:rPr>
        <w:t>DI</w:t>
      </w:r>
      <w:proofErr w:type="spellEnd"/>
      <w:r w:rsidRPr="008314BF">
        <w:rPr>
          <w:rFonts w:ascii="Garamond" w:hAnsi="Garamond"/>
          <w:b/>
          <w:bCs/>
          <w:i/>
          <w:sz w:val="24"/>
          <w:u w:val="single"/>
        </w:rPr>
        <w:t xml:space="preserve"> ASSENZA </w:t>
      </w:r>
      <w:proofErr w:type="spellStart"/>
      <w:r w:rsidRPr="008314BF">
        <w:rPr>
          <w:rFonts w:ascii="Garamond" w:hAnsi="Garamond"/>
          <w:b/>
          <w:bCs/>
          <w:i/>
          <w:sz w:val="24"/>
          <w:u w:val="single"/>
        </w:rPr>
        <w:t>DI</w:t>
      </w:r>
      <w:proofErr w:type="spellEnd"/>
      <w:r w:rsidRPr="008314BF">
        <w:rPr>
          <w:rFonts w:ascii="Garamond" w:hAnsi="Garamond"/>
          <w:b/>
          <w:bCs/>
          <w:i/>
          <w:sz w:val="24"/>
          <w:u w:val="single"/>
        </w:rPr>
        <w:t xml:space="preserve"> CAUSE </w:t>
      </w:r>
      <w:proofErr w:type="spellStart"/>
      <w:r w:rsidRPr="008314BF">
        <w:rPr>
          <w:rFonts w:ascii="Garamond" w:hAnsi="Garamond"/>
          <w:b/>
          <w:bCs/>
          <w:i/>
          <w:sz w:val="24"/>
          <w:u w:val="single"/>
        </w:rPr>
        <w:t>DI</w:t>
      </w:r>
      <w:proofErr w:type="spellEnd"/>
      <w:r w:rsidRPr="008314BF">
        <w:rPr>
          <w:rFonts w:ascii="Garamond" w:hAnsi="Garamond"/>
          <w:b/>
          <w:bCs/>
          <w:i/>
          <w:sz w:val="24"/>
          <w:u w:val="single"/>
        </w:rPr>
        <w:t xml:space="preserve"> INCOMPATIBILITÀ E </w:t>
      </w:r>
      <w:proofErr w:type="spellStart"/>
      <w:r w:rsidRPr="008314BF">
        <w:rPr>
          <w:rFonts w:ascii="Garamond" w:hAnsi="Garamond"/>
          <w:b/>
          <w:bCs/>
          <w:i/>
          <w:sz w:val="24"/>
          <w:u w:val="single"/>
        </w:rPr>
        <w:t>DI</w:t>
      </w:r>
      <w:proofErr w:type="spellEnd"/>
      <w:r w:rsidRPr="008314BF">
        <w:rPr>
          <w:rFonts w:ascii="Garamond" w:hAnsi="Garamond"/>
          <w:b/>
          <w:bCs/>
          <w:i/>
          <w:sz w:val="24"/>
          <w:u w:val="single"/>
        </w:rPr>
        <w:t xml:space="preserve"> ASTENSIONE</w:t>
      </w:r>
      <w:bookmarkEnd w:id="0"/>
      <w:bookmarkEnd w:id="1"/>
    </w:p>
    <w:p w:rsidR="008314BF" w:rsidRPr="008314BF" w:rsidRDefault="008314BF" w:rsidP="008314BF">
      <w:pPr>
        <w:pStyle w:val="Corpodeltesto"/>
        <w:tabs>
          <w:tab w:val="left" w:pos="5490"/>
        </w:tabs>
        <w:rPr>
          <w:rFonts w:ascii="Garamond" w:hAnsi="Garamond"/>
          <w:b/>
          <w:bCs/>
          <w:sz w:val="24"/>
        </w:rPr>
      </w:pPr>
    </w:p>
    <w:p w:rsidR="008314BF" w:rsidRPr="008314BF" w:rsidRDefault="008314BF" w:rsidP="008314BF">
      <w:pPr>
        <w:pStyle w:val="Default"/>
        <w:spacing w:after="120"/>
        <w:jc w:val="both"/>
        <w:rPr>
          <w:rFonts w:ascii="Garamond" w:hAnsi="Garamond"/>
        </w:rPr>
      </w:pPr>
      <w:r w:rsidRPr="008314BF">
        <w:rPr>
          <w:rFonts w:ascii="Garamond" w:hAnsi="Garamond"/>
        </w:rPr>
        <w:t>Il/La sottoscritto/a</w:t>
      </w:r>
      <w:r w:rsidR="00E21466">
        <w:rPr>
          <w:rFonts w:ascii="Garamond" w:hAnsi="Garamond"/>
        </w:rPr>
        <w:t xml:space="preserve"> ________________________________________________________________</w:t>
      </w:r>
    </w:p>
    <w:p w:rsidR="008314BF" w:rsidRPr="008314BF" w:rsidRDefault="008314BF" w:rsidP="008314BF">
      <w:pPr>
        <w:pStyle w:val="Default"/>
        <w:spacing w:after="120"/>
        <w:jc w:val="both"/>
        <w:rPr>
          <w:rFonts w:ascii="Garamond" w:hAnsi="Garamond"/>
        </w:rPr>
      </w:pPr>
      <w:r w:rsidRPr="008314BF">
        <w:rPr>
          <w:rFonts w:ascii="Garamond" w:hAnsi="Garamond"/>
        </w:rPr>
        <w:t>nato a _____________________________________________, il ___________</w:t>
      </w:r>
      <w:r w:rsidR="00E21466">
        <w:rPr>
          <w:rFonts w:ascii="Garamond" w:hAnsi="Garamond"/>
        </w:rPr>
        <w:t>________________</w:t>
      </w:r>
      <w:r w:rsidRPr="008314BF">
        <w:rPr>
          <w:rFonts w:ascii="Garamond" w:hAnsi="Garamond"/>
        </w:rPr>
        <w:t xml:space="preserve">, </w:t>
      </w:r>
    </w:p>
    <w:p w:rsidR="008314BF" w:rsidRPr="008314BF" w:rsidRDefault="00E21466" w:rsidP="008314BF">
      <w:pPr>
        <w:pStyle w:val="Default"/>
        <w:spacing w:after="120"/>
        <w:jc w:val="both"/>
        <w:rPr>
          <w:rFonts w:ascii="Garamond" w:hAnsi="Garamond"/>
        </w:rPr>
      </w:pPr>
      <w:r>
        <w:rPr>
          <w:rFonts w:ascii="Garamond" w:hAnsi="Garamond"/>
        </w:rPr>
        <w:t>residente a _____________________________________</w:t>
      </w:r>
      <w:r w:rsidR="008314BF" w:rsidRPr="008314BF">
        <w:rPr>
          <w:rFonts w:ascii="Garamond" w:hAnsi="Garamond"/>
        </w:rPr>
        <w:t xml:space="preserve"> C.F. ______________________________</w:t>
      </w:r>
    </w:p>
    <w:p w:rsidR="008314BF" w:rsidRPr="008314BF" w:rsidRDefault="008314BF" w:rsidP="008314BF">
      <w:pPr>
        <w:pStyle w:val="Default"/>
        <w:spacing w:after="120"/>
        <w:jc w:val="both"/>
        <w:rPr>
          <w:rFonts w:ascii="Garamond" w:hAnsi="Garamond"/>
        </w:rPr>
      </w:pPr>
      <w:r w:rsidRPr="008314BF">
        <w:rPr>
          <w:rFonts w:ascii="Garamond" w:hAnsi="Garamond"/>
        </w:rPr>
        <w:t>in qualità di presidente/componente della Commissione di aggiudicazione della procedura indicata in oggetto,</w:t>
      </w:r>
    </w:p>
    <w:p w:rsidR="008314BF" w:rsidRPr="008314BF" w:rsidRDefault="008314BF" w:rsidP="00E21466">
      <w:pPr>
        <w:pStyle w:val="Default"/>
        <w:spacing w:after="120"/>
        <w:jc w:val="center"/>
        <w:rPr>
          <w:rFonts w:ascii="Garamond" w:hAnsi="Garamond"/>
          <w:b/>
        </w:rPr>
      </w:pPr>
      <w:r w:rsidRPr="008314BF">
        <w:rPr>
          <w:rFonts w:ascii="Garamond" w:hAnsi="Garamond"/>
          <w:b/>
        </w:rPr>
        <w:t>DICHIARA</w:t>
      </w:r>
    </w:p>
    <w:p w:rsidR="008314BF" w:rsidRPr="008314BF" w:rsidRDefault="008314BF" w:rsidP="008314BF">
      <w:pPr>
        <w:pStyle w:val="Default"/>
        <w:spacing w:after="120"/>
        <w:jc w:val="both"/>
        <w:rPr>
          <w:rFonts w:ascii="Garamond" w:hAnsi="Garamond"/>
        </w:rPr>
      </w:pPr>
      <w:r w:rsidRPr="008314BF">
        <w:rPr>
          <w:rFonts w:ascii="Garamond" w:hAnsi="Garamond"/>
        </w:rPr>
        <w:t xml:space="preserve">ai sensi degli artt. 46 e 47 del </w:t>
      </w:r>
      <w:proofErr w:type="spellStart"/>
      <w:r w:rsidRPr="008314BF">
        <w:rPr>
          <w:rFonts w:ascii="Garamond" w:hAnsi="Garamond"/>
        </w:rPr>
        <w:t>d.P.R.</w:t>
      </w:r>
      <w:proofErr w:type="spellEnd"/>
      <w:r w:rsidRPr="008314BF">
        <w:rPr>
          <w:rFonts w:ascii="Garamond" w:hAnsi="Garamond"/>
        </w:rPr>
        <w:t xml:space="preserve"> 28 dicembre 2000, n. 445, e </w:t>
      </w:r>
      <w:proofErr w:type="spellStart"/>
      <w:r w:rsidRPr="008314BF">
        <w:rPr>
          <w:rFonts w:ascii="Garamond" w:hAnsi="Garamond"/>
        </w:rPr>
        <w:t>s.m.i.</w:t>
      </w:r>
      <w:proofErr w:type="spellEnd"/>
      <w:r w:rsidRPr="008314BF">
        <w:rPr>
          <w:rFonts w:ascii="Garamond" w:hAnsi="Garamond"/>
        </w:rPr>
        <w:t xml:space="preserve">, consapevole della responsabilità penale cui poter andare incontro in caso di dichiarazione mendace ed edotto delle sanzioni penali di cui all’art. 76 del </w:t>
      </w:r>
      <w:proofErr w:type="spellStart"/>
      <w:r w:rsidRPr="008314BF">
        <w:rPr>
          <w:rFonts w:ascii="Garamond" w:hAnsi="Garamond"/>
        </w:rPr>
        <w:t>d.P.R.</w:t>
      </w:r>
      <w:proofErr w:type="spellEnd"/>
      <w:r w:rsidRPr="008314BF">
        <w:rPr>
          <w:rFonts w:ascii="Garamond" w:hAnsi="Garamond"/>
        </w:rPr>
        <w:t xml:space="preserve"> sopra citato, ai sensi dell’art. 77 comma 9 del D. </w:t>
      </w:r>
      <w:proofErr w:type="spellStart"/>
      <w:r w:rsidRPr="008314BF">
        <w:rPr>
          <w:rFonts w:ascii="Garamond" w:hAnsi="Garamond"/>
        </w:rPr>
        <w:t>Lgs</w:t>
      </w:r>
      <w:proofErr w:type="spellEnd"/>
      <w:r w:rsidRPr="008314BF">
        <w:rPr>
          <w:rFonts w:ascii="Garamond" w:hAnsi="Garamond"/>
        </w:rPr>
        <w:t xml:space="preserve">. 18 aprile 2016 n. </w:t>
      </w:r>
      <w:smartTag w:uri="urn:schemas-microsoft-com:office:smarttags" w:element="metricconverter">
        <w:smartTagPr>
          <w:attr w:name="ProductID" w:val="50, l"/>
        </w:smartTagPr>
        <w:r w:rsidRPr="008314BF">
          <w:rPr>
            <w:rFonts w:ascii="Garamond" w:hAnsi="Garamond"/>
          </w:rPr>
          <w:t>50, l</w:t>
        </w:r>
      </w:smartTag>
      <w:r w:rsidRPr="008314BF">
        <w:rPr>
          <w:rFonts w:ascii="Garamond" w:hAnsi="Garamond"/>
        </w:rPr>
        <w:t>'inesistenza delle cause di incompatibilità e di astensione di cui ai commi 4, 5 e 6 del medesimo articolo e nello specifico:</w:t>
      </w:r>
    </w:p>
    <w:p w:rsidR="008314BF" w:rsidRPr="008314BF" w:rsidRDefault="008314BF" w:rsidP="008314BF">
      <w:pPr>
        <w:pStyle w:val="Default"/>
        <w:numPr>
          <w:ilvl w:val="0"/>
          <w:numId w:val="2"/>
        </w:numPr>
        <w:spacing w:after="120"/>
        <w:jc w:val="both"/>
        <w:rPr>
          <w:rFonts w:ascii="Garamond" w:hAnsi="Garamond"/>
        </w:rPr>
      </w:pPr>
      <w:r w:rsidRPr="008314BF">
        <w:rPr>
          <w:rFonts w:ascii="Garamond" w:hAnsi="Garamond"/>
        </w:rPr>
        <w:t>I commissari non devono aver svolto né possono svolgere alcun'altra funzione o incarico tecnico o amministrativo relativamente al contratto del cui affidamento si tratta.</w:t>
      </w:r>
    </w:p>
    <w:p w:rsidR="008314BF" w:rsidRPr="008314BF" w:rsidRDefault="008314BF" w:rsidP="008314BF">
      <w:pPr>
        <w:pStyle w:val="Default"/>
        <w:numPr>
          <w:ilvl w:val="0"/>
          <w:numId w:val="2"/>
        </w:numPr>
        <w:spacing w:after="120"/>
        <w:jc w:val="both"/>
        <w:rPr>
          <w:rFonts w:ascii="Garamond" w:hAnsi="Garamond"/>
        </w:rPr>
      </w:pPr>
      <w:r w:rsidRPr="008314BF">
        <w:rPr>
          <w:rFonts w:ascii="Garamond" w:hAnsi="Garamond"/>
        </w:rPr>
        <w:t>Coloro che, nel biennio antecedente all'indizione della procedura di aggiudicazione, hanno ricoperto cariche di pubblico amministratore, non possono essere nominati commissari giudicatori relativamente ai contratti affidati dalle Amministrazioni presso le quali hanno esercitato le proprie funzioni d'istituto.</w:t>
      </w:r>
    </w:p>
    <w:p w:rsidR="008314BF" w:rsidRPr="00E21466" w:rsidRDefault="008314BF" w:rsidP="008314BF">
      <w:pPr>
        <w:pStyle w:val="Default"/>
        <w:numPr>
          <w:ilvl w:val="0"/>
          <w:numId w:val="2"/>
        </w:numPr>
        <w:spacing w:after="120"/>
        <w:jc w:val="both"/>
        <w:rPr>
          <w:rFonts w:ascii="Garamond" w:hAnsi="Garamond"/>
        </w:rPr>
      </w:pPr>
      <w:r w:rsidRPr="008314BF">
        <w:rPr>
          <w:rFonts w:ascii="Garamond" w:hAnsi="Garamond"/>
        </w:rPr>
        <w:t xml:space="preserve">Si applicano ai commissari e ai segretari delle commissioni l'articolo 35-bis del decreto legislativo 30 marzo 2001, n. </w:t>
      </w:r>
      <w:smartTag w:uri="urn:schemas-microsoft-com:office:smarttags" w:element="metricconverter">
        <w:smartTagPr>
          <w:attr w:name="ProductID" w:val="165, l"/>
        </w:smartTagPr>
        <w:r w:rsidRPr="008314BF">
          <w:rPr>
            <w:rFonts w:ascii="Garamond" w:hAnsi="Garamond"/>
          </w:rPr>
          <w:t>165, l</w:t>
        </w:r>
      </w:smartTag>
      <w:r w:rsidRPr="008314BF">
        <w:rPr>
          <w:rFonts w:ascii="Garamond" w:hAnsi="Garamond"/>
        </w:rPr>
        <w:t>'articolo 51 del codice di procedura civile, nonché l'articolo 42 del presente codice. Sono altresì esclusi da successivi incarichi di commissario coloro che, in qualità di membri delle commissioni giudicatrici, abbiano concorso, con dolo o colpa grave accertati in sede giurisdizionale con sentenza non sospesa, all'approvazione di atti dichiarati illegittimi.</w:t>
      </w:r>
    </w:p>
    <w:p w:rsidR="008314BF" w:rsidRPr="008314BF" w:rsidRDefault="008314BF" w:rsidP="00E21466">
      <w:pPr>
        <w:pStyle w:val="Default"/>
        <w:spacing w:after="120"/>
        <w:jc w:val="center"/>
        <w:rPr>
          <w:rFonts w:ascii="Garamond" w:hAnsi="Garamond"/>
          <w:b/>
        </w:rPr>
      </w:pPr>
      <w:r w:rsidRPr="008314BF">
        <w:rPr>
          <w:rFonts w:ascii="Garamond" w:hAnsi="Garamond"/>
          <w:b/>
        </w:rPr>
        <w:t>DICHIARA INOLTRE:</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 xml:space="preserve">di non essere a conoscenza, al momento dell’assunzione dell’incarico di Commissario della gara in oggetto, della sussistenza di alcuna situazione che ai sensi dell’art. 51 del codice di procedura civile comporti l’obbligo di astensione dalla partecipazione alla Commissione; </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 xml:space="preserve">di non essere stato condannato, neppure con sentenza non passata in giudicato, per i reati previsti nel capo I del titolo II del libro secondo del codice penale ai sensi dell’art. 35-bis, comma1, lett. c) del </w:t>
      </w:r>
      <w:proofErr w:type="spellStart"/>
      <w:r w:rsidRPr="008314BF">
        <w:rPr>
          <w:rFonts w:ascii="Garamond" w:hAnsi="Garamond"/>
        </w:rPr>
        <w:t>D.Lgs.</w:t>
      </w:r>
      <w:proofErr w:type="spellEnd"/>
      <w:r w:rsidRPr="008314BF">
        <w:rPr>
          <w:rFonts w:ascii="Garamond" w:hAnsi="Garamond"/>
        </w:rPr>
        <w:t xml:space="preserve"> n. 165/2001 e </w:t>
      </w:r>
      <w:proofErr w:type="spellStart"/>
      <w:r w:rsidRPr="008314BF">
        <w:rPr>
          <w:rFonts w:ascii="Garamond" w:hAnsi="Garamond"/>
        </w:rPr>
        <w:t>s.m.i.</w:t>
      </w:r>
      <w:proofErr w:type="spellEnd"/>
      <w:r w:rsidRPr="008314BF">
        <w:rPr>
          <w:rFonts w:ascii="Garamond" w:hAnsi="Garamond"/>
        </w:rPr>
        <w:t xml:space="preserve">; </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di non essere a conoscenza di essere sottoposto a procedimenti penali;</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 xml:space="preserve">di essere consapevole che è causa di incompatibilità anche avere in corso ovvero avere svolto nel corso dell’ultimo anno incarichi, mandati, compiti mansioni, servizi ovvero cariche, funzioni, uffici </w:t>
      </w:r>
      <w:r w:rsidRPr="008314BF">
        <w:rPr>
          <w:rFonts w:ascii="Garamond" w:hAnsi="Garamond"/>
        </w:rPr>
        <w:lastRenderedPageBreak/>
        <w:t>o situazioni assimilabili presso operatori economici che partecipino in veste di concorrenti alla gara indicata in oggetto ovvero presso operatori economici ai primi legati da rapporto di controllo ovvero di collegamento societario;</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di impegnarsi ad operare con imparzialità e a svolgere il proprio compito con rigore, riservatezza, nel rispetto della normativa vigente, dei principi fondamentali in materia e in una posizione di indipendenza, imparzialità ed autonomia;</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di impegnarsi ad astenersi dal partecipare ai lavori della commissione giudicatrice in presenza di interessi propri, finanziari e non, diretti e indiretti, che possano essere in conflitto, anche soltanto potenziale, con gli obblighi cui al precedente punto;in particolare, di impegnarsi ad astenersi dal partecipare all’adozione di decisioni e/o ad attività in presenza di interessi propri, finanziari e non, del coniuge, dei parenti entro il quarto grado e/o di soggetti conviventi, di persone collegate (amici, conoscenti, ecc.) o di organizzazioni di cui il sottoscritto o il coniuge o i parenti entro il quarto grado e/o i conviventi siano amministratori o dirigenti, in conflitto con l’attività e le finalità della Stazione Appaltante e comunque di impegnarsi ad astenersi in tutti i casi in cui abbia un qualsiasi interesse personale o professionale, diretto o indiretto, nei confronti di uno più soggetti comunque coinvolti, direttamente o indirettamente, nelle attività della gara indicata in oggetto;</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 xml:space="preserve">di non essere, pertanto, nelle condizioni di incompatibilità di cui alla Legge Anticorruzione (L. n. 190/2012) e al </w:t>
      </w:r>
      <w:proofErr w:type="spellStart"/>
      <w:r w:rsidRPr="008314BF">
        <w:rPr>
          <w:rFonts w:ascii="Garamond" w:hAnsi="Garamond"/>
        </w:rPr>
        <w:t>D.Lgs.</w:t>
      </w:r>
      <w:proofErr w:type="spellEnd"/>
      <w:r w:rsidRPr="008314BF">
        <w:rPr>
          <w:rFonts w:ascii="Garamond" w:hAnsi="Garamond"/>
        </w:rPr>
        <w:t xml:space="preserve"> n. 39/2013 a far parte della Commissione di aggiudicazione della gara in oggetto e di accettarne l’incarico; </w:t>
      </w:r>
    </w:p>
    <w:p w:rsidR="008314BF" w:rsidRPr="008314BF" w:rsidRDefault="008314BF" w:rsidP="008314BF">
      <w:pPr>
        <w:pStyle w:val="Default"/>
        <w:numPr>
          <w:ilvl w:val="0"/>
          <w:numId w:val="1"/>
        </w:numPr>
        <w:spacing w:after="120"/>
        <w:jc w:val="both"/>
        <w:rPr>
          <w:rFonts w:ascii="Garamond" w:hAnsi="Garamond"/>
        </w:rPr>
      </w:pPr>
      <w:r w:rsidRPr="008314BF">
        <w:rPr>
          <w:rFonts w:ascii="Garamond" w:hAnsi="Garamond"/>
        </w:rPr>
        <w:t xml:space="preserve">di impegnarsi, qualora in un momento successivo all’assunzione dell’incarico, sopraggiunga una delle condizioni di incompatibilità di cui alle predette norme, ovvero una situazione (o la conoscenza della sussistenza di una situazione) di conflitto di interessi, anche potenziale, a darne notizia agli altri componenti della Commissione e all’Ente e ad astenersi dalla funzione. </w:t>
      </w:r>
    </w:p>
    <w:p w:rsidR="00E21466" w:rsidRDefault="00E21466" w:rsidP="008314BF">
      <w:pPr>
        <w:pStyle w:val="Default"/>
        <w:spacing w:after="120"/>
        <w:jc w:val="both"/>
        <w:rPr>
          <w:rFonts w:ascii="Garamond" w:hAnsi="Garamond"/>
        </w:rPr>
      </w:pPr>
    </w:p>
    <w:p w:rsidR="008314BF" w:rsidRDefault="008314BF" w:rsidP="008314BF">
      <w:pPr>
        <w:pStyle w:val="Default"/>
        <w:spacing w:after="120"/>
        <w:jc w:val="both"/>
        <w:rPr>
          <w:rFonts w:ascii="Garamond" w:hAnsi="Garamond"/>
        </w:rPr>
      </w:pPr>
      <w:r>
        <w:rPr>
          <w:rFonts w:ascii="Garamond" w:hAnsi="Garamond"/>
        </w:rPr>
        <w:t>_____________________________, _____________________</w:t>
      </w:r>
    </w:p>
    <w:p w:rsidR="008314BF" w:rsidRDefault="008314BF" w:rsidP="008314BF">
      <w:pPr>
        <w:pStyle w:val="Default"/>
        <w:spacing w:after="120"/>
        <w:jc w:val="both"/>
        <w:rPr>
          <w:rFonts w:ascii="Garamond" w:hAnsi="Garamond"/>
        </w:rPr>
      </w:pPr>
    </w:p>
    <w:p w:rsidR="00E21466" w:rsidRDefault="00E21466" w:rsidP="008314BF">
      <w:pPr>
        <w:pStyle w:val="Default"/>
        <w:spacing w:after="120"/>
        <w:jc w:val="both"/>
        <w:rPr>
          <w:rFonts w:ascii="Garamond" w:hAnsi="Garamond"/>
        </w:rPr>
      </w:pPr>
    </w:p>
    <w:p w:rsidR="00E21466" w:rsidRDefault="00E21466" w:rsidP="008314BF">
      <w:pPr>
        <w:pStyle w:val="Default"/>
        <w:spacing w:after="120"/>
        <w:jc w:val="both"/>
        <w:rPr>
          <w:rFonts w:ascii="Garamond" w:hAnsi="Garamond"/>
        </w:rPr>
      </w:pPr>
    </w:p>
    <w:p w:rsidR="008314BF" w:rsidRPr="008314BF" w:rsidRDefault="008314BF" w:rsidP="008314BF">
      <w:pPr>
        <w:pStyle w:val="Default"/>
        <w:spacing w:after="120"/>
        <w:jc w:val="center"/>
        <w:rPr>
          <w:rFonts w:ascii="Garamond" w:hAnsi="Garamond"/>
        </w:rPr>
      </w:pPr>
      <w:r w:rsidRPr="008314BF">
        <w:rPr>
          <w:rFonts w:ascii="Garamond" w:hAnsi="Garamond"/>
        </w:rPr>
        <w:t>FIRMA _________________________________</w:t>
      </w:r>
    </w:p>
    <w:p w:rsidR="008314BF" w:rsidRPr="008314BF" w:rsidRDefault="008314BF" w:rsidP="008314BF">
      <w:pPr>
        <w:pStyle w:val="Default"/>
        <w:spacing w:after="120"/>
        <w:jc w:val="both"/>
        <w:rPr>
          <w:rFonts w:ascii="Garamond" w:hAnsi="Garamond"/>
        </w:rPr>
      </w:pPr>
    </w:p>
    <w:p w:rsidR="008314BF" w:rsidRPr="008314BF" w:rsidRDefault="008314BF" w:rsidP="008314BF">
      <w:pPr>
        <w:pStyle w:val="Default"/>
        <w:spacing w:after="120"/>
        <w:jc w:val="both"/>
        <w:rPr>
          <w:rFonts w:ascii="Garamond" w:hAnsi="Garamond"/>
        </w:rPr>
      </w:pPr>
      <w:r w:rsidRPr="008314BF">
        <w:rPr>
          <w:rFonts w:ascii="Garamond" w:hAnsi="Garamond"/>
        </w:rPr>
        <w:t>.</w:t>
      </w:r>
    </w:p>
    <w:p w:rsidR="00E87696" w:rsidRPr="008314BF" w:rsidRDefault="00E87696">
      <w:pPr>
        <w:rPr>
          <w:rFonts w:ascii="Garamond" w:hAnsi="Garamond"/>
          <w:sz w:val="24"/>
        </w:rPr>
      </w:pPr>
    </w:p>
    <w:sectPr w:rsidR="00E87696" w:rsidRPr="008314BF" w:rsidSect="006533FB">
      <w:headerReference w:type="default" r:id="rId7"/>
      <w:footerReference w:type="even" r:id="rId8"/>
      <w:headerReference w:type="first" r:id="rId9"/>
      <w:pgSz w:w="11906" w:h="16838" w:code="9"/>
      <w:pgMar w:top="851" w:right="1134" w:bottom="851" w:left="1134" w:header="851"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A24" w:rsidRDefault="00B31A24" w:rsidP="00AC1FFC">
      <w:pPr>
        <w:spacing w:line="240" w:lineRule="auto"/>
      </w:pPr>
      <w:r>
        <w:separator/>
      </w:r>
    </w:p>
  </w:endnote>
  <w:endnote w:type="continuationSeparator" w:id="0">
    <w:p w:rsidR="00B31A24" w:rsidRDefault="00B31A24" w:rsidP="00AC1F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6" w:rsidRDefault="00003255" w:rsidP="00D82AD7">
    <w:pPr>
      <w:pStyle w:val="Pidipagina"/>
      <w:framePr w:wrap="around" w:vAnchor="text" w:hAnchor="margin" w:xAlign="right" w:y="1"/>
      <w:rPr>
        <w:rStyle w:val="Numeropagina"/>
      </w:rPr>
    </w:pPr>
    <w:r>
      <w:rPr>
        <w:rStyle w:val="Numeropagina"/>
      </w:rPr>
      <w:fldChar w:fldCharType="begin"/>
    </w:r>
    <w:r w:rsidR="00C1282E">
      <w:rPr>
        <w:rStyle w:val="Numeropagina"/>
      </w:rPr>
      <w:instrText xml:space="preserve">PAGE  </w:instrText>
    </w:r>
    <w:r>
      <w:rPr>
        <w:rStyle w:val="Numeropagina"/>
      </w:rPr>
      <w:fldChar w:fldCharType="separate"/>
    </w:r>
    <w:r w:rsidR="00C1282E">
      <w:rPr>
        <w:rStyle w:val="Numeropagina"/>
        <w:noProof/>
      </w:rPr>
      <w:t>19</w:t>
    </w:r>
    <w:r>
      <w:rPr>
        <w:rStyle w:val="Numeropagina"/>
      </w:rPr>
      <w:fldChar w:fldCharType="end"/>
    </w:r>
  </w:p>
  <w:p w:rsidR="00835986" w:rsidRDefault="00B31A24" w:rsidP="006162F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A24" w:rsidRDefault="00B31A24" w:rsidP="00AC1FFC">
      <w:pPr>
        <w:spacing w:line="240" w:lineRule="auto"/>
      </w:pPr>
      <w:r>
        <w:separator/>
      </w:r>
    </w:p>
  </w:footnote>
  <w:footnote w:type="continuationSeparator" w:id="0">
    <w:p w:rsidR="00B31A24" w:rsidRDefault="00B31A24" w:rsidP="00AC1F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6" w:rsidRPr="00873B29" w:rsidRDefault="00003255" w:rsidP="00873B29">
    <w:pPr>
      <w:pStyle w:val="Intestazione"/>
      <w:rPr>
        <w:b/>
        <w:szCs w:val="22"/>
      </w:rPr>
    </w:pPr>
    <w:r w:rsidRPr="00003255">
      <w:rPr>
        <w:noProof/>
      </w:rPr>
      <w:pict>
        <v:shapetype id="_x0000_t202" coordsize="21600,21600" o:spt="202" path="m,l,21600r21600,l21600,xe">
          <v:stroke joinstyle="miter"/>
          <v:path gradientshapeok="t" o:connecttype="rect"/>
        </v:shapetype>
        <v:shape id="Casella di testo 220" o:spid="_x0000_s1026" type="#_x0000_t202" style="position:absolute;left:0;text-align:left;margin-left:56.7pt;margin-top:24.6pt;width:437.3pt;height:13.45pt;z-index:251661312;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" o:allowincell="f" filled="f" stroked="f">
          <v:textbox style="mso-fit-shape-to-text:t" inset=",0,,0">
            <w:txbxContent>
              <w:p w:rsidR="00835986" w:rsidRPr="008C26F2" w:rsidRDefault="00B31A24" w:rsidP="008C26F2"/>
            </w:txbxContent>
          </v:textbox>
          <w10:wrap anchorx="margin" anchory="margin"/>
        </v:shape>
      </w:pict>
    </w:r>
    <w:r w:rsidRPr="00003255">
      <w:rPr>
        <w:noProof/>
      </w:rPr>
      <w:pict>
        <v:shape id="Casella di testo 221" o:spid="_x0000_s1025" type="#_x0000_t202" style="position:absolute;left:0;text-align:left;margin-left:494.85pt;margin-top:24.45pt;width:100.45pt;height:13.45pt;z-index:251660288;visibility:visible;mso-position-horizontal-relative:page;mso-position-vertical-relative:page;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" o:allowincell="f" fillcolor="#2e74b5" stroked="f">
          <v:textbox style="mso-fit-shape-to-text:t" inset=",0,,0">
            <w:txbxContent>
              <w:p w:rsidR="00835986" w:rsidRPr="00873B29" w:rsidRDefault="00B31A24">
                <w:pPr>
                  <w:spacing w:line="240" w:lineRule="auto"/>
                  <w:rPr>
                    <w:color w:val="FFFFFF"/>
                  </w:rPr>
                </w:pP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986" w:rsidRDefault="00B31A24" w:rsidP="00506AE2">
    <w:pPr>
      <w:spacing w:line="276" w:lineRule="auto"/>
      <w:rPr>
        <w:rFonts w:ascii="Book Antiqua" w:hAnsi="Book Antiqua"/>
        <w:bCs/>
        <w:szCs w:val="22"/>
        <w:highlight w:val="yell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B09"/>
    <w:multiLevelType w:val="hybridMultilevel"/>
    <w:tmpl w:val="B368298E"/>
    <w:lvl w:ilvl="0" w:tplc="E8A483BA">
      <w:numFmt w:val="bullet"/>
      <w:lvlText w:val="-"/>
      <w:lvlJc w:val="left"/>
      <w:pPr>
        <w:tabs>
          <w:tab w:val="num" w:pos="360"/>
        </w:tabs>
        <w:ind w:left="360" w:hanging="360"/>
      </w:pPr>
      <w:rPr>
        <w:rFonts w:ascii="Book Antiqua" w:eastAsia="Shruti" w:hAnsi="Book Antiqua" w:cs="Shruti"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376A251E"/>
    <w:multiLevelType w:val="hybridMultilevel"/>
    <w:tmpl w:val="B044B4AC"/>
    <w:lvl w:ilvl="0" w:tplc="B8A0703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8314BF"/>
    <w:rsid w:val="00003255"/>
    <w:rsid w:val="0005337F"/>
    <w:rsid w:val="0006456E"/>
    <w:rsid w:val="00117D12"/>
    <w:rsid w:val="00303AE2"/>
    <w:rsid w:val="003D2252"/>
    <w:rsid w:val="00473E37"/>
    <w:rsid w:val="004A1A39"/>
    <w:rsid w:val="005C2D98"/>
    <w:rsid w:val="008314BF"/>
    <w:rsid w:val="008C26F2"/>
    <w:rsid w:val="008F62B6"/>
    <w:rsid w:val="00915206"/>
    <w:rsid w:val="00932E75"/>
    <w:rsid w:val="009D3290"/>
    <w:rsid w:val="00A0337F"/>
    <w:rsid w:val="00AA6042"/>
    <w:rsid w:val="00AC1FFC"/>
    <w:rsid w:val="00B31A24"/>
    <w:rsid w:val="00B97675"/>
    <w:rsid w:val="00C1282E"/>
    <w:rsid w:val="00E21466"/>
    <w:rsid w:val="00E24F5F"/>
    <w:rsid w:val="00E87696"/>
    <w:rsid w:val="00F01500"/>
    <w:rsid w:val="00FE64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4BF"/>
    <w:pPr>
      <w:spacing w:after="0" w:line="360" w:lineRule="auto"/>
      <w:jc w:val="both"/>
    </w:pPr>
    <w:rPr>
      <w:rFonts w:ascii="Calibri" w:eastAsia="Times New Roman" w:hAnsi="Calibri" w:cs="Times New Roman"/>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314BF"/>
    <w:pPr>
      <w:tabs>
        <w:tab w:val="center" w:pos="4819"/>
        <w:tab w:val="right" w:pos="9638"/>
      </w:tabs>
    </w:pPr>
    <w:rPr>
      <w:szCs w:val="20"/>
    </w:rPr>
  </w:style>
  <w:style w:type="character" w:customStyle="1" w:styleId="IntestazioneCarattere">
    <w:name w:val="Intestazione Carattere"/>
    <w:basedOn w:val="Carpredefinitoparagrafo"/>
    <w:link w:val="Intestazione"/>
    <w:rsid w:val="008314BF"/>
    <w:rPr>
      <w:rFonts w:ascii="Calibri" w:eastAsia="Times New Roman" w:hAnsi="Calibri" w:cs="Times New Roman"/>
      <w:szCs w:val="20"/>
      <w:lang w:eastAsia="it-IT"/>
    </w:rPr>
  </w:style>
  <w:style w:type="paragraph" w:styleId="Corpodeltesto">
    <w:name w:val="Body Text"/>
    <w:basedOn w:val="Normale"/>
    <w:link w:val="CorpodeltestoCarattere"/>
    <w:rsid w:val="008314BF"/>
  </w:style>
  <w:style w:type="character" w:customStyle="1" w:styleId="CorpodeltestoCarattere">
    <w:name w:val="Corpo del testo Carattere"/>
    <w:basedOn w:val="Carpredefinitoparagrafo"/>
    <w:link w:val="Corpodeltesto"/>
    <w:rsid w:val="008314BF"/>
    <w:rPr>
      <w:rFonts w:ascii="Calibri" w:eastAsia="Times New Roman" w:hAnsi="Calibri" w:cs="Times New Roman"/>
      <w:szCs w:val="24"/>
      <w:lang w:eastAsia="it-IT"/>
    </w:rPr>
  </w:style>
  <w:style w:type="paragraph" w:customStyle="1" w:styleId="Default">
    <w:name w:val="Default"/>
    <w:rsid w:val="008314B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idipagina">
    <w:name w:val="footer"/>
    <w:basedOn w:val="Normale"/>
    <w:link w:val="PidipaginaCarattere"/>
    <w:uiPriority w:val="99"/>
    <w:rsid w:val="008314BF"/>
    <w:pPr>
      <w:tabs>
        <w:tab w:val="center" w:pos="4819"/>
        <w:tab w:val="right" w:pos="9638"/>
      </w:tabs>
    </w:pPr>
  </w:style>
  <w:style w:type="character" w:customStyle="1" w:styleId="PidipaginaCarattere">
    <w:name w:val="Piè di pagina Carattere"/>
    <w:basedOn w:val="Carpredefinitoparagrafo"/>
    <w:link w:val="Pidipagina"/>
    <w:uiPriority w:val="99"/>
    <w:rsid w:val="008314BF"/>
    <w:rPr>
      <w:rFonts w:ascii="Calibri" w:eastAsia="Times New Roman" w:hAnsi="Calibri" w:cs="Times New Roman"/>
      <w:szCs w:val="24"/>
    </w:rPr>
  </w:style>
  <w:style w:type="character" w:styleId="Numeropagina">
    <w:name w:val="page number"/>
    <w:basedOn w:val="Carpredefinitoparagrafo"/>
    <w:rsid w:val="008314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2018-07-31T10:04:00Z</cp:lastPrinted>
  <dcterms:created xsi:type="dcterms:W3CDTF">2018-07-31T08:14:00Z</dcterms:created>
  <dcterms:modified xsi:type="dcterms:W3CDTF">2018-07-31T10:07:00Z</dcterms:modified>
</cp:coreProperties>
</file>